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0531" w:rsidRDefault="00567002" w:rsidP="00C42ED8">
      <w:pPr>
        <w:spacing w:line="480" w:lineRule="auto"/>
        <w:rPr>
          <w:b/>
          <w:bCs/>
          <w:noProof/>
        </w:rPr>
      </w:pPr>
      <w:r w:rsidRPr="005D0531">
        <w:rPr>
          <w:b/>
          <w:bCs/>
          <w:noProof/>
        </w:rPr>
        <w:t>RESULTS AND DISCUSSION</w:t>
      </w:r>
    </w:p>
    <w:p w:rsidR="00856A01" w:rsidRDefault="00856A01" w:rsidP="00856A01">
      <w:pPr>
        <w:spacing w:line="480" w:lineRule="auto"/>
        <w:rPr>
          <w:b/>
          <w:bCs/>
          <w:noProof/>
        </w:rPr>
      </w:pPr>
    </w:p>
    <w:p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49E59B79" wp14:editId="088A421C">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rsidR="00856A01" w:rsidRDefault="00856A01" w:rsidP="00856A01">
      <w:pPr>
        <w:rPr>
          <w:noProof/>
        </w:rPr>
      </w:pPr>
      <w:r>
        <w:rPr>
          <w:noProof/>
        </w:rPr>
        <w:br w:type="page"/>
      </w:r>
    </w:p>
    <w:p w:rsidR="00856A01" w:rsidRDefault="00856A01" w:rsidP="00856A01">
      <w:pPr>
        <w:spacing w:line="480" w:lineRule="auto"/>
        <w:rPr>
          <w:noProof/>
        </w:rPr>
      </w:pPr>
      <w:r w:rsidRPr="00411B93">
        <w:rPr>
          <w:b/>
          <w:bCs/>
          <w:noProof/>
        </w:rPr>
        <w:lastRenderedPageBreak/>
        <w:drawing>
          <wp:anchor distT="0" distB="0" distL="114300" distR="114300" simplePos="0" relativeHeight="251679744" behindDoc="0" locked="0" layoutInCell="1" allowOverlap="1" wp14:anchorId="3B16D4C9" wp14:editId="75EDE7BA">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Van Krevelen diagrams for post-Fenton SOM molecules in hardwood (HW) and softwood (SW) soils. The intensity of color represents the relative abundance of the molecules. </w:t>
      </w:r>
      <w:r>
        <w:rPr>
          <w:noProof/>
        </w:rPr>
        <w:br w:type="page"/>
      </w:r>
    </w:p>
    <w:p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rsidTr="002C5643">
        <w:trPr>
          <w:trHeight w:val="320"/>
        </w:trPr>
        <w:tc>
          <w:tcPr>
            <w:tcW w:w="1495" w:type="pct"/>
            <w:tcBorders>
              <w:bottom w:val="nil"/>
            </w:tcBorders>
            <w:shd w:val="clear" w:color="auto" w:fill="auto"/>
            <w:noWrap/>
            <w:vAlign w:val="center"/>
            <w:hideMark/>
          </w:tcPr>
          <w:p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rsidTr="002C5643">
        <w:trPr>
          <w:trHeight w:val="320"/>
        </w:trPr>
        <w:tc>
          <w:tcPr>
            <w:tcW w:w="1495" w:type="pct"/>
            <w:tcBorders>
              <w:top w:val="nil"/>
              <w:bottom w:val="single" w:sz="4" w:space="0" w:color="auto"/>
            </w:tcBorders>
            <w:shd w:val="clear" w:color="auto" w:fill="auto"/>
            <w:noWrap/>
            <w:vAlign w:val="center"/>
          </w:tcPr>
          <w:p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sidRPr="00EC7AB7">
              <w:rPr>
                <w:rFonts w:asciiTheme="minorHAnsi" w:hAnsiTheme="minorHAnsi" w:cstheme="minorHAnsi"/>
                <w:b/>
                <w:bCs/>
                <w:color w:val="000000"/>
              </w:rPr>
              <w:t>PostFenton</w:t>
            </w:r>
          </w:p>
        </w:tc>
        <w:tc>
          <w:tcPr>
            <w:tcW w:w="154" w:type="pct"/>
            <w:gridSpan w:val="2"/>
            <w:tcBorders>
              <w:top w:val="nil"/>
              <w:bottom w:val="single" w:sz="4" w:space="0" w:color="auto"/>
            </w:tcBorders>
            <w:vAlign w:val="center"/>
          </w:tcPr>
          <w:p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rsidR="00856A01" w:rsidRPr="00EC7AB7" w:rsidRDefault="00856A01" w:rsidP="002C5643">
            <w:pPr>
              <w:jc w:val="center"/>
              <w:rPr>
                <w:rFonts w:asciiTheme="minorHAnsi" w:hAnsiTheme="minorHAnsi" w:cstheme="minorHAnsi"/>
                <w:b/>
                <w:bCs/>
                <w:color w:val="000000"/>
              </w:rPr>
            </w:pPr>
            <w:r w:rsidRPr="00EC7AB7">
              <w:rPr>
                <w:rFonts w:asciiTheme="minorHAnsi" w:hAnsiTheme="minorHAnsi" w:cstheme="minorHAnsi"/>
                <w:b/>
                <w:bCs/>
                <w:color w:val="000000"/>
              </w:rPr>
              <w:t>PostFenton</w:t>
            </w:r>
          </w:p>
        </w:tc>
      </w:tr>
      <w:tr w:rsidR="00A76902" w:rsidRPr="005112F3" w:rsidTr="002C5643">
        <w:trPr>
          <w:trHeight w:val="320"/>
        </w:trPr>
        <w:tc>
          <w:tcPr>
            <w:tcW w:w="5000" w:type="pct"/>
            <w:gridSpan w:val="10"/>
            <w:tcBorders>
              <w:top w:val="single" w:sz="4" w:space="0" w:color="auto"/>
              <w:bottom w:val="nil"/>
            </w:tcBorders>
            <w:shd w:val="clear" w:color="auto" w:fill="auto"/>
            <w:noWrap/>
            <w:vAlign w:val="center"/>
          </w:tcPr>
          <w:p w:rsidR="00A76902" w:rsidRPr="0080059F" w:rsidRDefault="00A76902" w:rsidP="002C5643">
            <w:pPr>
              <w:ind w:left="72"/>
              <w:rPr>
                <w:rFonts w:ascii="Calibri" w:eastAsia="Times New Roman" w:hAnsi="Calibri" w:cs="Calibri"/>
                <w:b/>
                <w:bCs/>
                <w:color w:val="000000"/>
              </w:rPr>
            </w:pPr>
          </w:p>
        </w:tc>
      </w:tr>
      <w:tr w:rsidR="002C5643" w:rsidRPr="005112F3" w:rsidTr="002C5643">
        <w:trPr>
          <w:trHeight w:val="320"/>
        </w:trPr>
        <w:tc>
          <w:tcPr>
            <w:tcW w:w="1495" w:type="pct"/>
            <w:tcBorders>
              <w:top w:val="nil"/>
              <w:bottom w:val="nil"/>
            </w:tcBorders>
            <w:shd w:val="clear" w:color="auto" w:fill="auto"/>
            <w:noWrap/>
            <w:vAlign w:val="center"/>
          </w:tcPr>
          <w:p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rsidTr="002C5643">
        <w:trPr>
          <w:trHeight w:val="320"/>
        </w:trPr>
        <w:tc>
          <w:tcPr>
            <w:tcW w:w="1495" w:type="pct"/>
            <w:tcBorders>
              <w:top w:val="nil"/>
              <w:bottom w:val="single" w:sz="4" w:space="0" w:color="auto"/>
            </w:tcBorders>
            <w:shd w:val="clear" w:color="auto" w:fill="auto"/>
            <w:noWrap/>
            <w:vAlign w:val="center"/>
          </w:tcPr>
          <w:p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rsidTr="002C5643">
        <w:trPr>
          <w:trHeight w:val="320"/>
        </w:trPr>
        <w:tc>
          <w:tcPr>
            <w:tcW w:w="5000" w:type="pct"/>
            <w:gridSpan w:val="10"/>
            <w:tcBorders>
              <w:top w:val="single" w:sz="4" w:space="0" w:color="auto"/>
              <w:bottom w:val="nil"/>
            </w:tcBorders>
            <w:shd w:val="clear" w:color="auto" w:fill="auto"/>
            <w:noWrap/>
            <w:vAlign w:val="center"/>
          </w:tcPr>
          <w:p w:rsidR="00657BB0" w:rsidRPr="0080059F" w:rsidRDefault="00657BB0" w:rsidP="002C5643">
            <w:pPr>
              <w:ind w:left="72"/>
              <w:rPr>
                <w:rFonts w:ascii="Calibri" w:eastAsia="Times New Roman" w:hAnsi="Calibri" w:cs="Calibri"/>
                <w:b/>
                <w:bCs/>
                <w:color w:val="000000"/>
              </w:rPr>
            </w:pPr>
          </w:p>
        </w:tc>
      </w:tr>
      <w:tr w:rsidR="0080059F" w:rsidRPr="005112F3" w:rsidTr="002C5643">
        <w:trPr>
          <w:trHeight w:val="320"/>
        </w:trPr>
        <w:tc>
          <w:tcPr>
            <w:tcW w:w="5000" w:type="pct"/>
            <w:gridSpan w:val="10"/>
            <w:tcBorders>
              <w:top w:val="nil"/>
              <w:bottom w:val="nil"/>
            </w:tcBorders>
            <w:shd w:val="clear" w:color="auto" w:fill="auto"/>
            <w:noWrap/>
            <w:vAlign w:val="center"/>
          </w:tcPr>
          <w:p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rsidTr="002C5643">
        <w:trPr>
          <w:trHeight w:val="320"/>
        </w:trPr>
        <w:tc>
          <w:tcPr>
            <w:tcW w:w="1495" w:type="pct"/>
            <w:tcBorders>
              <w:top w:val="nil"/>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rsidTr="002C5643">
        <w:trPr>
          <w:trHeight w:val="320"/>
        </w:trPr>
        <w:tc>
          <w:tcPr>
            <w:tcW w:w="1495" w:type="pct"/>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rsidTr="00A44545">
        <w:trPr>
          <w:trHeight w:val="320"/>
        </w:trPr>
        <w:tc>
          <w:tcPr>
            <w:tcW w:w="1495" w:type="pct"/>
            <w:tcBorders>
              <w:bottom w:val="nil"/>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rsidTr="00A44545">
        <w:trPr>
          <w:trHeight w:val="320"/>
        </w:trPr>
        <w:tc>
          <w:tcPr>
            <w:tcW w:w="1495" w:type="pct"/>
            <w:tcBorders>
              <w:top w:val="nil"/>
              <w:bottom w:val="single" w:sz="4" w:space="0" w:color="auto"/>
            </w:tcBorders>
            <w:shd w:val="clear" w:color="auto" w:fill="auto"/>
            <w:noWrap/>
            <w:vAlign w:val="center"/>
            <w:hideMark/>
          </w:tcPr>
          <w:p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rsidR="00657BB0" w:rsidRPr="0080059F" w:rsidRDefault="00657BB0" w:rsidP="002C5643">
            <w:pPr>
              <w:ind w:left="72"/>
              <w:rPr>
                <w:rFonts w:asciiTheme="minorHAnsi" w:hAnsiTheme="minorHAnsi" w:cstheme="minorHAnsi"/>
                <w:b/>
                <w:bCs/>
                <w:color w:val="000000"/>
              </w:rPr>
            </w:pPr>
          </w:p>
        </w:tc>
      </w:tr>
      <w:tr w:rsidR="0080059F" w:rsidRPr="0080059F"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AminoSugar</w:t>
            </w:r>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p>
        </w:tc>
        <w:tc>
          <w:tcPr>
            <w:tcW w:w="164" w:type="pct"/>
            <w:gridSpan w:val="2"/>
            <w:tcBorders>
              <w:top w:val="nil"/>
              <w:bottom w:val="nil"/>
            </w:tcBorders>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p>
        </w:tc>
        <w:tc>
          <w:tcPr>
            <w:tcW w:w="164" w:type="pct"/>
            <w:gridSpan w:val="2"/>
            <w:tcBorders>
              <w:top w:val="nil"/>
            </w:tcBorders>
            <w:shd w:val="clear" w:color="auto" w:fill="DEEAF6" w:themeFill="accent5"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ConHC</w:t>
            </w:r>
          </w:p>
        </w:tc>
        <w:tc>
          <w:tcPr>
            <w:tcW w:w="909"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p>
        </w:tc>
        <w:tc>
          <w:tcPr>
            <w:tcW w:w="164" w:type="pct"/>
            <w:gridSpan w:val="2"/>
            <w:shd w:val="clear" w:color="auto" w:fill="FBE4D5" w:themeFill="accent2"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p>
        </w:tc>
        <w:tc>
          <w:tcPr>
            <w:tcW w:w="164" w:type="pct"/>
            <w:gridSpan w:val="2"/>
            <w:shd w:val="clear" w:color="auto" w:fill="FBE4D5" w:themeFill="accent2"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p>
        </w:tc>
      </w:tr>
      <w:tr w:rsidR="002C5643" w:rsidRPr="00EC7AB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p>
        </w:tc>
        <w:tc>
          <w:tcPr>
            <w:tcW w:w="164" w:type="pct"/>
            <w:gridSpan w:val="2"/>
            <w:shd w:val="clear" w:color="auto" w:fill="DEEAF6" w:themeFill="accent5" w:themeFillTint="33"/>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rsidR="00C9364C" w:rsidRDefault="00C9364C" w:rsidP="00856A01">
      <w:pPr>
        <w:spacing w:line="480" w:lineRule="auto"/>
        <w:rPr>
          <w:noProof/>
        </w:rPr>
      </w:pPr>
    </w:p>
    <w:p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rsidR="00824783" w:rsidRDefault="00320ACD" w:rsidP="00824783">
      <w:pPr>
        <w:spacing w:line="480" w:lineRule="auto"/>
        <w:rPr>
          <w:b/>
          <w:bCs/>
          <w:noProof/>
        </w:rPr>
      </w:pPr>
      <w:r>
        <w:rPr>
          <w:b/>
          <w:bCs/>
          <w:noProof/>
        </w:rPr>
        <w:br w:type="page"/>
      </w:r>
      <w:r w:rsidR="00824783">
        <w:rPr>
          <w:noProof/>
        </w:rPr>
        <w:lastRenderedPageBreak/>
        <w:drawing>
          <wp:anchor distT="0" distB="0" distL="114300" distR="114300" simplePos="0" relativeHeight="251682816" behindDoc="0" locked="0" layoutInCell="1" allowOverlap="1" wp14:anchorId="55CDC91B" wp14:editId="52A8ED32">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00824783"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rsidR="00824783" w:rsidRDefault="00824783" w:rsidP="00824783">
      <w:pPr>
        <w:rPr>
          <w:noProof/>
        </w:rPr>
      </w:pPr>
    </w:p>
    <w:p w:rsidR="00824783" w:rsidRDefault="00824783" w:rsidP="00824783">
      <w:pPr>
        <w:rPr>
          <w:noProof/>
        </w:rPr>
      </w:pPr>
      <w:r>
        <w:rPr>
          <w:noProof/>
        </w:rPr>
        <w:t xml:space="preserve"> </w:t>
      </w:r>
    </w:p>
    <w:p w:rsidR="00824783" w:rsidRDefault="00D90408" w:rsidP="00824783">
      <w:pPr>
        <w:rPr>
          <w:b/>
          <w:bCs/>
          <w:noProof/>
        </w:rPr>
      </w:pPr>
      <w:r>
        <w:rPr>
          <w:noProof/>
        </w:rPr>
        <w:drawing>
          <wp:anchor distT="0" distB="0" distL="114300" distR="114300" simplePos="0" relativeHeight="251681792" behindDoc="0" locked="0" layoutInCell="1" allowOverlap="1" wp14:anchorId="35A06F95" wp14:editId="66E5677E">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rsidR="005D0531" w:rsidRDefault="005D0531" w:rsidP="005D4EB7">
      <w:pPr>
        <w:spacing w:line="480" w:lineRule="auto"/>
        <w:rPr>
          <w:noProof/>
        </w:rPr>
      </w:pPr>
      <w:r>
        <w:rPr>
          <w:noProof/>
        </w:rPr>
        <w:t xml:space="preserve">The Van Krevelen diagrams in Figure 1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are reported in Table 1.</w:t>
      </w:r>
      <w:r w:rsidR="00D84551">
        <w:rPr>
          <w:noProof/>
        </w:rPr>
        <w:t xml:space="preserve"> </w:t>
      </w:r>
      <w:r w:rsidR="00C1503A">
        <w:rPr>
          <w:noProof/>
        </w:rPr>
        <w:t xml:space="preserve">Overall, the SOM composition did not differ significantly between HW and SW soil types.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rsidR="005F310B" w:rsidRDefault="005F310B" w:rsidP="005D4EB7">
      <w:pPr>
        <w:spacing w:line="480" w:lineRule="auto"/>
        <w:rPr>
          <w:noProof/>
        </w:rPr>
      </w:pPr>
    </w:p>
    <w:p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rsidR="00553D8A" w:rsidRDefault="004A627C" w:rsidP="00212545">
      <w:pPr>
        <w:spacing w:line="480" w:lineRule="auto"/>
        <w:contextualSpacing/>
        <w:jc w:val="both"/>
        <w:rPr>
          <w:rFonts w:eastAsia="Times New Roman" w:cs="Times New Roman"/>
          <w:b/>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reaction for both DEC and CON soils (Figure </w:t>
      </w:r>
      <w:r w:rsidR="00D67432">
        <w:rPr>
          <w:rFonts w:eastAsia="Times New Roman" w:cs="Times New Roman"/>
          <w:bCs/>
          <w:color w:val="000000"/>
        </w:rPr>
        <w:t>2, Table 1</w:t>
      </w:r>
      <w:r>
        <w:rPr>
          <w:rFonts w:eastAsia="Times New Roman" w:cs="Times New Roman"/>
          <w:bCs/>
          <w:color w:val="000000"/>
        </w:rPr>
        <w:t xml:space="preserve">), although the </w:t>
      </w:r>
      <w:r w:rsidRPr="008A6EC5">
        <w:rPr>
          <w:rFonts w:eastAsia="Times New Roman" w:cs="Times New Roman"/>
          <w:bCs/>
          <w:color w:val="000000"/>
        </w:rPr>
        <w:t>concentrations did not differ significantly between pre- and post-Fenton extracts (Table 1). Th</w:t>
      </w:r>
      <w:r>
        <w:rPr>
          <w:rFonts w:eastAsia="Times New Roman" w:cs="Times New Roman"/>
          <w:bCs/>
          <w:color w:val="000000"/>
        </w:rPr>
        <w:t xml:space="preserve">is </w:t>
      </w:r>
      <w:r w:rsidRPr="008A6EC5">
        <w:rPr>
          <w:rFonts w:eastAsia="Times New Roman" w:cs="Times New Roman"/>
          <w:bCs/>
          <w:color w:val="000000"/>
        </w:rPr>
        <w:t>indicates that our one-hour Fenton treatment likely resulted 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 xml:space="preserve">olecules with lower O/C ratios in the aliphatic, polyphenol, and condensed aromatic regions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the newly formed molecules generally ha</w:t>
      </w:r>
      <w:r>
        <w:rPr>
          <w:rFonts w:eastAsia="Times New Roman" w:cs="Times New Roman"/>
          <w:bCs/>
          <w:color w:val="000000"/>
        </w:rPr>
        <w:t>d</w:t>
      </w:r>
      <w:r w:rsidRPr="008A6EC5">
        <w:rPr>
          <w:rFonts w:eastAsia="Times New Roman" w:cs="Times New Roman"/>
          <w:bCs/>
          <w:color w:val="000000"/>
        </w:rPr>
        <w:t xml:space="preserve"> H/C &gt; 1.0 and O/C &gt; 0.5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r w:rsidR="00B66461">
        <w:rPr>
          <w:rFonts w:eastAsia="Times New Roman" w:cs="Times New Roman"/>
          <w:bCs/>
          <w:color w:val="000000"/>
        </w:rPr>
        <w:t xml:space="preserve">The Fenton-induced </w:t>
      </w:r>
      <w:r w:rsidRPr="008A6EC5">
        <w:rPr>
          <w:rFonts w:eastAsia="Times New Roman" w:cs="Times New Roman"/>
          <w:bCs/>
          <w:color w:val="000000"/>
        </w:rPr>
        <w:t>oxidation is likely to impact DOM reactivity with soil components due to greater oxygen-containing functional group content after Fenton oxidation</w:t>
      </w:r>
      <w:r w:rsidR="007833F7">
        <w:rPr>
          <w:rFonts w:eastAsia="Times New Roman" w:cs="Times New Roman"/>
          <w:bCs/>
          <w:color w:val="000000"/>
        </w:rPr>
        <w:t xml:space="preserve"> </w:t>
      </w:r>
      <w:r w:rsidR="007833F7" w:rsidRPr="007833F7">
        <w:rPr>
          <w:rFonts w:eastAsia="Times New Roman" w:cs="Times New Roman"/>
          <w:b/>
          <w:color w:val="000000"/>
        </w:rPr>
        <w:t>(Fig. 2)</w:t>
      </w:r>
      <w:r w:rsidRPr="008A6EC5">
        <w:rPr>
          <w:rFonts w:eastAsia="Times New Roman" w:cs="Times New Roman"/>
          <w:bCs/>
          <w:color w:val="000000"/>
        </w:rPr>
        <w:t xml:space="preserve">. </w:t>
      </w:r>
    </w:p>
    <w:p w:rsidR="00C54B0B" w:rsidRDefault="00C54B0B" w:rsidP="00212545">
      <w:pPr>
        <w:spacing w:line="480" w:lineRule="auto"/>
        <w:contextualSpacing/>
        <w:jc w:val="both"/>
        <w:rPr>
          <w:rFonts w:eastAsia="Times New Roman" w:cs="Times New Roman"/>
          <w:bCs/>
          <w:color w:val="000000"/>
        </w:rPr>
      </w:pPr>
    </w:p>
    <w:p w:rsidR="004A627C"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The van Krevelen diagrams also show that that there was a high degree of similarity for the DEC and CON extracts in the van Krevelen space where the lost, conserved, and newly formed formulas occupied stand vegetation does not strongly affect DOM chemical composition.</w:t>
      </w:r>
      <w:r>
        <w:rPr>
          <w:rFonts w:eastAsia="Times New Roman" w:cs="Times New Roman"/>
          <w:bCs/>
          <w:color w:val="000000"/>
        </w:rPr>
        <w:t xml:space="preserve"> </w:t>
      </w:r>
      <w:r w:rsidRPr="00415DA7">
        <w:rPr>
          <w:rFonts w:eastAsia="Times New Roman" w:cs="Times New Roman"/>
          <w:bCs/>
          <w:color w:val="FF0000"/>
          <w:highlight w:val="yellow"/>
        </w:rPr>
        <w:t xml:space="preserve">This was confirmed by the sharing of 415 (45.8%) of the 907 unique formulas between the two DOM </w:t>
      </w:r>
      <w:r w:rsidRPr="00415DA7">
        <w:rPr>
          <w:rFonts w:eastAsia="Times New Roman" w:cs="Times New Roman"/>
          <w:bCs/>
          <w:color w:val="FF0000"/>
          <w:highlight w:val="yellow"/>
        </w:rPr>
        <w:lastRenderedPageBreak/>
        <w:t>extracts for those lost in the oxidation treatment, and the sharing of 348 (45.9%) of 758 unique formulas for the newly formed formulas.</w:t>
      </w:r>
      <w:r w:rsidRPr="00415DA7">
        <w:rPr>
          <w:rFonts w:eastAsia="Times New Roman" w:cs="Times New Roman"/>
          <w:bCs/>
          <w:color w:val="FF0000"/>
        </w:rPr>
        <w:t xml:space="preserve"> </w:t>
      </w:r>
    </w:p>
    <w:p w:rsidR="004A627C" w:rsidRPr="008A6EC5" w:rsidRDefault="004A627C" w:rsidP="00C42ED8">
      <w:pPr>
        <w:spacing w:line="480" w:lineRule="auto"/>
        <w:ind w:firstLine="720"/>
        <w:contextualSpacing/>
        <w:jc w:val="both"/>
        <w:rPr>
          <w:rFonts w:eastAsia="Times New Roman" w:cs="Times New Roman"/>
          <w:bCs/>
          <w:color w:val="000000"/>
        </w:rPr>
      </w:pPr>
    </w:p>
    <w:p w:rsidR="004A627C" w:rsidRDefault="004A627C" w:rsidP="00C42ED8">
      <w:pPr>
        <w:spacing w:line="480" w:lineRule="auto"/>
        <w:contextualSpacing/>
        <w:jc w:val="both"/>
        <w:rPr>
          <w:rFonts w:eastAsia="Times New Roman" w:cs="Times New Roman"/>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sidR="002708EF">
        <w:rPr>
          <w:rFonts w:eastAsia="Times New Roman" w:cs="Times New Roman"/>
          <w:bCs/>
          <w:color w:val="000000"/>
        </w:rPr>
        <w:t>lost and gained molecules</w:t>
      </w:r>
      <w:r w:rsidRPr="008A6EC5">
        <w:rPr>
          <w:rFonts w:eastAsia="Times New Roman" w:cs="Times New Roman"/>
          <w:bCs/>
          <w:color w:val="000000"/>
        </w:rPr>
        <w:t xml:space="preserve"> as a function of the number of O atoms in their formula (</w:t>
      </w:r>
      <w:r w:rsidRPr="008A6EC5">
        <w:rPr>
          <w:rFonts w:eastAsia="Times New Roman" w:cs="Times New Roman"/>
          <w:b/>
          <w:bCs/>
          <w:color w:val="000000"/>
        </w:rPr>
        <w:t xml:space="preserve">Fig. </w:t>
      </w:r>
      <w:r w:rsidR="00E53F1A">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is preferentially consuming DOM molecules with </w:t>
      </w:r>
      <w:r w:rsidR="00983A48">
        <w:rPr>
          <w:rFonts w:cs="Times New Roman"/>
        </w:rPr>
        <w:t>&lt;</w:t>
      </w:r>
      <w:r w:rsidRPr="008A6EC5">
        <w:rPr>
          <w:rFonts w:cs="Times New Roman"/>
        </w:rPr>
        <w:t xml:space="preserve"> </w:t>
      </w:r>
      <w:r w:rsidR="00C04DB5">
        <w:rPr>
          <w:rFonts w:eastAsia="Times New Roman" w:cs="Times New Roman"/>
          <w:bCs/>
          <w:color w:val="000000"/>
        </w:rPr>
        <w:t>9</w:t>
      </w:r>
      <w:r w:rsidRPr="008A6EC5">
        <w:rPr>
          <w:rFonts w:eastAsia="Times New Roman" w:cs="Times New Roman"/>
          <w:bCs/>
          <w:color w:val="000000"/>
        </w:rPr>
        <w:t xml:space="preserve"> O atoms and forming new molecules with &gt; 1</w:t>
      </w:r>
      <w:r w:rsidR="00C04DB5">
        <w:rPr>
          <w:rFonts w:eastAsia="Times New Roman" w:cs="Times New Roman"/>
          <w:bCs/>
          <w:color w:val="000000"/>
        </w:rPr>
        <w:t>4</w:t>
      </w:r>
      <w:r w:rsidRPr="008A6EC5">
        <w:rPr>
          <w:rFonts w:eastAsia="Times New Roman" w:cs="Times New Roman"/>
          <w:bCs/>
          <w:color w:val="000000"/>
        </w:rPr>
        <w:t xml:space="preserve"> O atoms</w:t>
      </w:r>
      <w:r w:rsidR="00C04DB5">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At the 8 O atom threshold, the total cumulative intensity was reduced from 58% to 4.8% for the DEC extract and 50% to 4.9% for the CON extract.</w:t>
      </w:r>
      <w:r>
        <w:rPr>
          <w:rFonts w:eastAsia="Times New Roman" w:cs="Times New Roman"/>
          <w:bCs/>
          <w:color w:val="000000"/>
        </w:rPr>
        <w:t xml:space="preserve"> </w:t>
      </w:r>
      <w:r w:rsidRPr="008A6EC5">
        <w:rPr>
          <w:rFonts w:eastAsia="Times New Roman" w:cs="Times New Roman"/>
          <w:bCs/>
          <w:color w:val="000000"/>
        </w:rPr>
        <w:t xml:space="preserve"> The changes in DOM chemical composition were further investigated by calculating</w:t>
      </w:r>
      <w:r>
        <w:rPr>
          <w:rFonts w:eastAsia="Times New Roman" w:cs="Times New Roman"/>
          <w:bCs/>
          <w:color w:val="000000"/>
        </w:rPr>
        <w:t xml:space="preserve"> </w:t>
      </w:r>
      <w:r w:rsidRPr="008A6EC5">
        <w:rPr>
          <w:rFonts w:eastAsia="Times New Roman" w:cs="Times New Roman"/>
          <w:bCs/>
          <w:color w:val="000000"/>
        </w:rPr>
        <w:t>descriptive chemical parameters and magnitude-weighted relative content of six classification groups derived from the van Krevelen diagrams (</w:t>
      </w:r>
      <w:r w:rsidRPr="008A6EC5">
        <w:rPr>
          <w:rFonts w:eastAsia="Times New Roman" w:cs="Times New Roman"/>
          <w:b/>
          <w:bCs/>
          <w:color w:val="000000"/>
        </w:rPr>
        <w:t>Table 1</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 </w:t>
      </w:r>
      <w:r w:rsidRPr="00A57604">
        <w:rPr>
          <w:rFonts w:eastAsia="Times New Roman" w:cs="Times New Roman"/>
          <w:bCs/>
          <w:color w:val="C00000"/>
        </w:rPr>
        <w:t xml:space="preserve">The patterns of change in the chemical indices were similar for both DEC and CON DOM extracts so averages will be used to contrast the consumed and newly </w:t>
      </w:r>
      <w:r w:rsidRPr="00AD6970">
        <w:rPr>
          <w:rFonts w:eastAsia="Times New Roman" w:cs="Times New Roman"/>
          <w:bCs/>
          <w:color w:val="C00000"/>
        </w:rPr>
        <w:t xml:space="preserve">formed molecules. </w:t>
      </w:r>
      <w:r w:rsidRPr="00AD6970">
        <w:rPr>
          <w:rFonts w:eastAsia="Times New Roman" w:cs="Times New Roman"/>
          <w:bCs/>
          <w:color w:val="C00000"/>
          <w:highlight w:val="yellow"/>
        </w:rPr>
        <w:t xml:space="preserve">The average C number in the molecule decreased from 21.7 to 19.1 which was </w:t>
      </w:r>
      <w:r w:rsidRPr="00AD6970">
        <w:rPr>
          <w:rFonts w:eastAsia="Times New Roman" w:cs="Times New Roman"/>
          <w:color w:val="C00000"/>
          <w:highlight w:val="yellow"/>
        </w:rPr>
        <w:t>statistically (p = 0.012) different using the t-test and the average O number significantly (p=0.007) increased from</w:t>
      </w:r>
      <w:r w:rsidRPr="00AD6970">
        <w:rPr>
          <w:rFonts w:eastAsia="Times New Roman" w:cs="Times New Roman"/>
          <w:b/>
          <w:color w:val="C00000"/>
          <w:highlight w:val="yellow"/>
        </w:rPr>
        <w:t xml:space="preserve"> </w:t>
      </w:r>
      <w:r w:rsidRPr="00AD6970">
        <w:rPr>
          <w:rFonts w:eastAsia="Times New Roman" w:cs="Times New Roman"/>
          <w:color w:val="C00000"/>
          <w:highlight w:val="yellow"/>
        </w:rPr>
        <w:t>8.8 to 13.9. Thus, the O/C ratio was significantly (p = 0.002) higher for the newly formed molecules, 0.76, as compared for the molecules lost in the oxidation reaction, 0.42.</w:t>
      </w:r>
      <w:r w:rsidRPr="00AD6970">
        <w:rPr>
          <w:rFonts w:eastAsia="Times New Roman" w:cs="Times New Roman"/>
          <w:color w:val="C00000"/>
        </w:rPr>
        <w:t xml:space="preserve"> </w:t>
      </w:r>
    </w:p>
    <w:p w:rsidR="004A627C" w:rsidRPr="008A6EC5" w:rsidRDefault="004A627C" w:rsidP="00C42ED8">
      <w:pPr>
        <w:spacing w:line="480" w:lineRule="auto"/>
        <w:contextualSpacing/>
        <w:jc w:val="both"/>
        <w:rPr>
          <w:rFonts w:eastAsia="Times New Roman" w:cs="Times New Roman"/>
          <w:bCs/>
          <w:color w:val="000000"/>
        </w:rPr>
      </w:pPr>
    </w:p>
    <w:p w:rsidR="004A627C" w:rsidRPr="008A6EC5" w:rsidRDefault="004A627C" w:rsidP="00C42ED8">
      <w:pPr>
        <w:spacing w:after="240" w:line="480" w:lineRule="auto"/>
        <w:contextualSpacing/>
        <w:jc w:val="both"/>
        <w:rPr>
          <w:rFonts w:eastAsia="Times New Roman" w:cs="Times New Roman"/>
        </w:rPr>
      </w:pPr>
      <w:r w:rsidRPr="008A6EC5">
        <w:rPr>
          <w:rFonts w:eastAsia="Times New Roman" w:cs="Times New Roman"/>
        </w:rPr>
        <w:t xml:space="preserve">The VKD diagrams suggests that the </w:t>
      </w:r>
      <w:r w:rsidRPr="008A6EC5">
        <w:rPr>
          <w:rFonts w:cs="Times New Roman"/>
        </w:rPr>
        <w:t>·</w:t>
      </w:r>
      <w:r w:rsidRPr="008A6EC5">
        <w:rPr>
          <w:rFonts w:eastAsia="Times New Roman" w:cs="Times New Roman"/>
          <w:bCs/>
          <w:color w:val="000000"/>
        </w:rPr>
        <w:t xml:space="preserve">OH radical reaction </w:t>
      </w:r>
      <w:r w:rsidRPr="008A6EC5">
        <w:rPr>
          <w:rFonts w:eastAsia="Times New Roman" w:cs="Times New Roman"/>
        </w:rPr>
        <w:t xml:space="preserve">consumed aliphatic, aromatic and condensed aromatic molecules, while the newly formed molecules </w:t>
      </w:r>
      <w:r w:rsidRPr="008A6EC5">
        <w:rPr>
          <w:rFonts w:eastAsia="Times New Roman" w:cs="Times New Roman"/>
          <w:bCs/>
          <w:color w:val="000000"/>
        </w:rPr>
        <w:t>were predominately in the carbohydrate-region (</w:t>
      </w:r>
      <w:r w:rsidRPr="008A6EC5">
        <w:rPr>
          <w:rFonts w:eastAsia="Times New Roman" w:cs="Times New Roman"/>
          <w:b/>
        </w:rPr>
        <w:t>Fig. 1A &amp; B</w:t>
      </w:r>
      <w:r w:rsidRPr="008A6EC5">
        <w:rPr>
          <w:rFonts w:eastAsia="Times New Roman" w:cs="Times New Roman"/>
        </w:rPr>
        <w:t>)</w:t>
      </w:r>
      <w:r w:rsidRPr="008A6EC5">
        <w:rPr>
          <w:rFonts w:eastAsia="Times New Roman" w:cs="Times New Roman"/>
          <w:bCs/>
          <w:color w:val="000000"/>
        </w:rPr>
        <w:t>.</w:t>
      </w:r>
      <w:r>
        <w:rPr>
          <w:rFonts w:eastAsia="Times New Roman" w:cs="Times New Roman"/>
          <w:bCs/>
          <w:color w:val="000000"/>
        </w:rPr>
        <w:t xml:space="preserve"> </w:t>
      </w:r>
    </w:p>
    <w:p w:rsidR="00EC7AB7" w:rsidRDefault="00EC7AB7" w:rsidP="00C42ED8">
      <w:pPr>
        <w:spacing w:line="480" w:lineRule="auto"/>
        <w:rPr>
          <w:noProof/>
        </w:rPr>
      </w:pPr>
      <w:r>
        <w:rPr>
          <w:noProof/>
        </w:rPr>
        <w:br w:type="page"/>
      </w:r>
    </w:p>
    <w:p w:rsidR="00EC7AB7" w:rsidRPr="003833FC" w:rsidRDefault="00F26CD6" w:rsidP="00F26CD6">
      <w:pPr>
        <w:pStyle w:val="ListParagraph"/>
        <w:numPr>
          <w:ilvl w:val="0"/>
          <w:numId w:val="1"/>
        </w:numPr>
        <w:spacing w:line="480" w:lineRule="auto"/>
        <w:rPr>
          <w:b/>
          <w:bCs/>
          <w:noProof/>
        </w:rPr>
      </w:pPr>
      <w:r w:rsidRPr="003833FC">
        <w:rPr>
          <w:b/>
          <w:bCs/>
          <w:noProof/>
        </w:rPr>
        <w:lastRenderedPageBreak/>
        <w:t>Adsorptive fractionation by Goethite</w:t>
      </w:r>
    </w:p>
    <w:p w:rsidR="00DC3DA7" w:rsidRDefault="00015736" w:rsidP="00FF2FBC">
      <w:pPr>
        <w:spacing w:line="480" w:lineRule="auto"/>
        <w:rPr>
          <w:noProof/>
        </w:rPr>
      </w:pPr>
      <w:r>
        <w:rPr>
          <w:noProof/>
        </w:rPr>
        <w:t xml:space="preserve">Following the method of </w:t>
      </w:r>
      <w:r w:rsidR="00AA75C2">
        <w:rPr>
          <w:noProof/>
        </w:rPr>
        <w:fldChar w:fldCharType="begin" w:fldLock="1"/>
      </w:r>
      <w:r w:rsidR="00AA75C2">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a higher abundance of high-O and high-H molecules </w:t>
      </w:r>
      <w:r w:rsidR="00B97E7B" w:rsidRPr="00B97E7B">
        <w:rPr>
          <w:b/>
          <w:bCs/>
          <w:noProof/>
        </w:rPr>
        <w:t>(Fig. 2)</w:t>
      </w:r>
      <w:r w:rsidR="00B97E7B">
        <w:rPr>
          <w:noProof/>
        </w:rPr>
        <w:t>, and this was also reflected in the molecules adsorbed to goethite.</w:t>
      </w:r>
      <w:r w:rsidR="00DC3DA7">
        <w:rPr>
          <w:noProof/>
        </w:rPr>
        <w:t xml:space="preserve"> A comparison of pre-and post-Goethite solutions indicated the formation of </w:t>
      </w:r>
      <w:r w:rsidR="00DC3DA7" w:rsidRPr="00806723">
        <w:rPr>
          <w:noProof/>
          <w:color w:val="FF0000"/>
          <w:highlight w:val="yellow"/>
        </w:rPr>
        <w:t>XXX</w:t>
      </w:r>
      <w:r w:rsidR="00DC3DA7" w:rsidRPr="00806723">
        <w:rPr>
          <w:noProof/>
          <w:color w:val="FF0000"/>
        </w:rPr>
        <w:t xml:space="preserve"> </w:t>
      </w:r>
      <w:r w:rsidR="00DC3DA7">
        <w:rPr>
          <w:noProof/>
        </w:rPr>
        <w:t>new molecules, mostly with O/C ratios &lt; 0.5 and H/C ratios &gt; 1.0</w:t>
      </w:r>
      <w:r w:rsidR="003D37C2">
        <w:rPr>
          <w:noProof/>
        </w:rPr>
        <w:t xml:space="preserve"> </w:t>
      </w:r>
      <w:r w:rsidR="003D37C2" w:rsidRPr="003D37C2">
        <w:rPr>
          <w:b/>
          <w:bCs/>
          <w:noProof/>
        </w:rPr>
        <w:t>(Fig. 7)</w:t>
      </w:r>
      <w:r w:rsidR="00DC3DA7">
        <w:rPr>
          <w:noProof/>
        </w:rPr>
        <w:t xml:space="preserve">. </w:t>
      </w:r>
      <w:r w:rsidR="003E61B4">
        <w:rPr>
          <w:noProof/>
        </w:rPr>
        <w:t xml:space="preserve">These molecules did not differ by Fenton treatment (pre – vs. post-Fenton) or forest type (HW vs. SW). </w:t>
      </w:r>
    </w:p>
    <w:p w:rsidR="00E922EE" w:rsidRDefault="00E922EE" w:rsidP="00F26CD6">
      <w:pPr>
        <w:spacing w:line="480" w:lineRule="auto"/>
        <w:rPr>
          <w:noProof/>
        </w:rPr>
      </w:pPr>
    </w:p>
    <w:p w:rsidR="007C22D0" w:rsidRDefault="005D1662" w:rsidP="00F26CD6">
      <w:pPr>
        <w:spacing w:line="480" w:lineRule="auto"/>
        <w:rPr>
          <w:noProof/>
        </w:rPr>
      </w:pPr>
      <w:r>
        <w:rPr>
          <w:noProof/>
        </w:rPr>
        <w:t>This is consistent with previous research that has found SOM adsorption was controlled by acuduc functional group interactions with iron hydroxides (REF).</w:t>
      </w:r>
    </w:p>
    <w:p w:rsidR="005D1662" w:rsidRDefault="005D1662" w:rsidP="00F26CD6">
      <w:pPr>
        <w:spacing w:line="480" w:lineRule="auto"/>
        <w:rPr>
          <w:noProof/>
        </w:rPr>
      </w:pPr>
      <w:r>
        <w:rPr>
          <w:noProof/>
        </w:rPr>
        <w:t xml:space="preserve"> </w:t>
      </w:r>
    </w:p>
    <w:p w:rsidR="00404777" w:rsidRDefault="003E48AB" w:rsidP="00E341DE">
      <w:pPr>
        <w:spacing w:line="480" w:lineRule="auto"/>
        <w:rPr>
          <w:noProof/>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 xml:space="preserve">and 40-50 % of the unbound molecules. </w:t>
      </w:r>
      <w:r w:rsidR="0024789D">
        <w:rPr>
          <w:noProof/>
        </w:rPr>
        <w:t>This relationship was flipped in the post-Fenton extracts, with lignin contributing to 50-60 % of the unbound molecules and only 30 % of the adsorbed molecules. It is interesitng to note that carbohydrates,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 xml:space="preserve">Since adsorption onto mineral surfaces typically offers some physical protection to organic molecules, we can assume that the carbohydrates would be less susceptible to </w:t>
      </w:r>
      <w:r w:rsidR="00C73818">
        <w:rPr>
          <w:noProof/>
        </w:rPr>
        <w:lastRenderedPageBreak/>
        <w:t>mineralization than the lignin molecules</w:t>
      </w:r>
      <w:r w:rsidR="007C526A">
        <w:rPr>
          <w:noProof/>
        </w:rPr>
        <w:t xml:space="preserve">. </w:t>
      </w:r>
      <w:r w:rsidR="00F17FE3">
        <w:rPr>
          <w:noProof/>
        </w:rPr>
        <w:t xml:space="preserve">These patterns of adsorption are interesting because </w:t>
      </w:r>
      <w:r w:rsidR="009F4CBF">
        <w:rPr>
          <w:noProof/>
        </w:rPr>
        <w:t>aromatic/ polyphenolic compounds typically bind more strongly to mineral surfaces. These molecules make up the first layer of the onion model of SOM sorption.</w:t>
      </w:r>
    </w:p>
    <w:p w:rsidR="009D1A6C" w:rsidRDefault="009D1A6C" w:rsidP="00E341DE">
      <w:pPr>
        <w:spacing w:line="480" w:lineRule="auto"/>
        <w:rPr>
          <w:noProof/>
        </w:rPr>
      </w:pPr>
    </w:p>
    <w:p w:rsidR="009D1A6C" w:rsidRDefault="00404777" w:rsidP="00E341DE">
      <w:pPr>
        <w:spacing w:line="480" w:lineRule="auto"/>
      </w:pPr>
      <w:r>
        <w:rPr>
          <w:noProof/>
        </w:rPr>
        <w:t>The</w:t>
      </w:r>
      <w:r w:rsidR="00DA2FF8">
        <w:rPr>
          <w:noProof/>
        </w:rPr>
        <w:t>se</w:t>
      </w:r>
      <w:r>
        <w:rPr>
          <w:noProof/>
        </w:rPr>
        <w:t xml:space="preserve"> patterns </w:t>
      </w:r>
      <w:r w:rsidR="003C3959">
        <w:rPr>
          <w:noProof/>
        </w:rPr>
        <w:t xml:space="preserve">may be explained by the oxygen content of the molecules, which has been linked </w:t>
      </w:r>
      <w:r w:rsidR="00D42858">
        <w:rPr>
          <w:noProof/>
        </w:rPr>
        <w:t xml:space="preserve">with sorption strength in previous work (REF). </w:t>
      </w:r>
      <w:r w:rsidR="0033047C">
        <w:rPr>
          <w:noProof/>
        </w:rPr>
        <w:t xml:space="preserve">Our data also suggest that molecules with &gt; 12 O atoms were typically sorbed onto Goethite,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lignin, carbohydrates, proteins, and tannins. </w:t>
      </w:r>
      <w:r w:rsidR="00586686">
        <w:rPr>
          <w:noProof/>
        </w:rPr>
        <w:t>These four classes 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 xml:space="preserve">(Fig </w:t>
      </w:r>
      <w:r w:rsidR="005A5296">
        <w:rPr>
          <w:b/>
          <w:bCs/>
          <w:noProof/>
        </w:rPr>
        <w:t>6</w:t>
      </w:r>
      <w:r w:rsidR="00855170" w:rsidRPr="00855170">
        <w:rPr>
          <w:b/>
          <w:bCs/>
          <w:noProof/>
        </w:rPr>
        <w:t>)</w:t>
      </w:r>
      <w:r w:rsidR="00C232A5">
        <w:rPr>
          <w:noProof/>
        </w:rPr>
        <w:t xml:space="preserve">. </w:t>
      </w:r>
      <w:r w:rsidR="00FA5872" w:rsidRPr="00FA5872">
        <w:rPr>
          <w:b/>
          <w:bCs/>
          <w:noProof/>
        </w:rPr>
        <w:t xml:space="preserve">Fig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reater abundance of carbohydrates and high-O tannins. Low-O lignins and proteins decreased, but intermediate/high-O lignins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ompetitive adsorption of carbs and tannins vs. lignins</w:t>
      </w:r>
      <w:r w:rsidR="00C77BF8">
        <w:t xml:space="preserve">. </w:t>
      </w:r>
    </w:p>
    <w:p w:rsidR="00E06DDF" w:rsidRDefault="00E06DDF" w:rsidP="00E341DE">
      <w:pPr>
        <w:spacing w:line="480" w:lineRule="auto"/>
      </w:pPr>
      <w:r>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bookmarkStart w:id="0" w:name="_GoBack"/>
      <w:bookmarkEnd w:id="0"/>
    </w:p>
    <w:p w:rsidR="009D1A6C" w:rsidRDefault="009D1A6C" w:rsidP="00E341DE">
      <w:pPr>
        <w:spacing w:line="480" w:lineRule="auto"/>
      </w:pPr>
    </w:p>
    <w:p w:rsidR="003E48AB" w:rsidRPr="00A01EC6" w:rsidRDefault="003E48AB" w:rsidP="00F26CD6">
      <w:pPr>
        <w:spacing w:line="480" w:lineRule="auto"/>
        <w:rPr>
          <w:noProof/>
        </w:rPr>
      </w:pPr>
    </w:p>
    <w:p w:rsidR="006F20A3" w:rsidRDefault="006F20A3" w:rsidP="00F26CD6">
      <w:pPr>
        <w:spacing w:line="480" w:lineRule="auto"/>
        <w:rPr>
          <w:noProof/>
        </w:rPr>
      </w:pPr>
      <w:r>
        <w:rPr>
          <w:noProof/>
        </w:rPr>
        <w:lastRenderedPageBreak/>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rsidR="00D93D12" w:rsidRDefault="00D93D12">
      <w:pPr>
        <w:rPr>
          <w:noProof/>
        </w:rPr>
      </w:pPr>
      <w:r>
        <w:rPr>
          <w:noProof/>
        </w:rPr>
        <w:br w:type="page"/>
      </w:r>
    </w:p>
    <w:p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rsidR="00D93D12" w:rsidRDefault="00EC7AB7" w:rsidP="00C42ED8">
      <w:pPr>
        <w:spacing w:line="480" w:lineRule="auto"/>
        <w:rPr>
          <w:b/>
          <w:bCs/>
          <w:noProof/>
        </w:rPr>
      </w:pPr>
      <w:r w:rsidRPr="00D93D12">
        <w:rPr>
          <w:b/>
          <w:bCs/>
          <w:noProof/>
        </w:rPr>
        <w:t xml:space="preserve"> </w:t>
      </w:r>
    </w:p>
    <w:p w:rsidR="00D93D12" w:rsidRDefault="00D93D12">
      <w:pPr>
        <w:rPr>
          <w:b/>
          <w:bCs/>
          <w:noProof/>
        </w:rPr>
      </w:pPr>
      <w:r>
        <w:rPr>
          <w:b/>
          <w:bCs/>
          <w:noProof/>
        </w:rPr>
        <w:br w:type="page"/>
      </w:r>
    </w:p>
    <w:p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rsidR="00073527" w:rsidRDefault="00073527">
      <w:pPr>
        <w:rPr>
          <w:noProof/>
        </w:rPr>
      </w:pPr>
      <w:r>
        <w:rPr>
          <w:noProof/>
        </w:rPr>
        <w:t xml:space="preserve">In the native SOM pool, lignin accounted for 60% of the total sorbed compounds. Consistent with previous research. </w:t>
      </w:r>
    </w:p>
    <w:p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rsidR="00D93D12" w:rsidRPr="00D93D12" w:rsidRDefault="00D93D12" w:rsidP="00C42ED8">
      <w:pPr>
        <w:spacing w:line="480" w:lineRule="auto"/>
        <w:rPr>
          <w:b/>
          <w:bCs/>
          <w:noProof/>
        </w:rPr>
      </w:pPr>
      <w:r w:rsidRPr="00D93D12">
        <w:rPr>
          <w:b/>
          <w:bCs/>
          <w:noProof/>
        </w:rPr>
        <w:lastRenderedPageBreak/>
        <w:t>Figure 7.</w:t>
      </w:r>
      <w:r>
        <w:rPr>
          <w:b/>
          <w:bCs/>
          <w:noProof/>
        </w:rPr>
        <w:t xml:space="preserve"> New molecules produced post-adsorption by goethite.</w:t>
      </w:r>
      <w:r w:rsidRPr="00D93D12">
        <w:rPr>
          <w:b/>
          <w:bCs/>
          <w:noProof/>
        </w:rPr>
        <w:t xml:space="preserve"> </w:t>
      </w:r>
    </w:p>
    <w:p w:rsidR="00F55F41" w:rsidRDefault="00F55F41" w:rsidP="00C42ED8">
      <w:pPr>
        <w:spacing w:line="480" w:lineRule="auto"/>
      </w:pPr>
      <w:r>
        <w:rPr>
          <w:noProof/>
        </w:rPr>
        <w:drawing>
          <wp:anchor distT="0" distB="0" distL="114300" distR="114300" simplePos="0" relativeHeight="251668480" behindDoc="0" locked="0" layoutInCell="1" allowOverlap="1" wp14:anchorId="2DC1EFFE" wp14:editId="0420B89F">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rsidR="00F55F41" w:rsidRDefault="00F55F41">
      <w:r>
        <w:br w:type="page"/>
      </w:r>
    </w:p>
    <w:p w:rsidR="00F55F41" w:rsidRDefault="00F55F41" w:rsidP="00C42ED8">
      <w:pPr>
        <w:spacing w:line="480" w:lineRule="auto"/>
      </w:pPr>
    </w:p>
    <w:p w:rsidR="00130A65" w:rsidRDefault="00130A65" w:rsidP="00C42ED8">
      <w:pPr>
        <w:spacing w:line="480" w:lineRule="auto"/>
        <w:rPr>
          <w:b/>
          <w:bCs/>
        </w:rPr>
      </w:pPr>
      <w:r w:rsidRPr="00130A65">
        <w:drawing>
          <wp:anchor distT="0" distB="0" distL="114300" distR="114300" simplePos="0" relativeHeight="251684864" behindDoc="0" locked="0" layoutInCell="1" allowOverlap="1" wp14:anchorId="411AC2E7">
            <wp:simplePos x="0" y="0"/>
            <wp:positionH relativeFrom="column">
              <wp:posOffset>-635</wp:posOffset>
            </wp:positionH>
            <wp:positionV relativeFrom="paragraph">
              <wp:posOffset>33997</wp:posOffset>
            </wp:positionV>
            <wp:extent cx="5859145" cy="45948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59145" cy="4594860"/>
                    </a:xfrm>
                    <a:prstGeom prst="rect">
                      <a:avLst/>
                    </a:prstGeom>
                  </pic:spPr>
                </pic:pic>
              </a:graphicData>
            </a:graphic>
            <wp14:sizeRelH relativeFrom="page">
              <wp14:pctWidth>0</wp14:pctWidth>
            </wp14:sizeRelH>
            <wp14:sizeRelV relativeFrom="page">
              <wp14:pctHeight>0</wp14:pctHeight>
            </wp14:sizeRelV>
          </wp:anchor>
        </w:drawing>
      </w:r>
      <w:r w:rsidR="00AA0F90">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rsidR="00F14D74" w:rsidRPr="00CD1403" w:rsidRDefault="00F14D74" w:rsidP="00C42ED8">
      <w:pPr>
        <w:spacing w:line="480" w:lineRule="auto"/>
        <w:rPr>
          <w:b/>
          <w:bCs/>
        </w:rPr>
      </w:pPr>
    </w:p>
    <w:p w:rsidR="00130A65" w:rsidRDefault="00130A65" w:rsidP="00C42ED8">
      <w:pPr>
        <w:spacing w:line="480" w:lineRule="auto"/>
      </w:pPr>
      <w:r>
        <w:t>Greater abundance of carbohydrates and high-O tannins post-Fenton</w:t>
      </w:r>
      <w:r w:rsidR="00AB0B36">
        <w:t>. Low-O lignins</w:t>
      </w:r>
      <w:r w:rsidR="00970D42">
        <w:t xml:space="preserve"> and proteins</w:t>
      </w:r>
      <w:r w:rsidR="00AB0B36">
        <w:t xml:space="preserve"> decreased, but intermediate/high-O lignins were unchanged. </w:t>
      </w:r>
      <w:r w:rsidR="00EF092E">
        <w:t xml:space="preserve">The distribution of oxygens could explain the adsorption patterns. </w:t>
      </w:r>
      <w:r w:rsidR="00940F94">
        <w:t xml:space="preserve">Proteins are primarily &lt; 12 oxygens and therefore unbound. </w:t>
      </w:r>
      <w:r w:rsidR="00836341">
        <w:t>Competitive adsorption of carbs and tannins vs. lignins</w:t>
      </w:r>
      <w:r w:rsidR="006751C1">
        <w:t xml:space="preserve">. </w:t>
      </w:r>
      <w:r w:rsidR="007E6E3D" w:rsidRPr="007E6E3D">
        <w:rPr>
          <w:color w:val="FF0000"/>
          <w:highlight w:val="yellow"/>
        </w:rPr>
        <w:t>Different mechanisms of binding?</w:t>
      </w:r>
      <w:r w:rsidR="007E6E3D">
        <w:rPr>
          <w:color w:val="FF0000"/>
        </w:rPr>
        <w:t xml:space="preserve"> </w:t>
      </w:r>
    </w:p>
    <w:p w:rsidR="00F57281" w:rsidRDefault="00F57281">
      <w:r>
        <w:br w:type="page"/>
      </w:r>
    </w:p>
    <w:p w:rsidR="00F40F07" w:rsidRPr="007E6E3D" w:rsidRDefault="00F57281" w:rsidP="00C42ED8">
      <w:pPr>
        <w:spacing w:line="480" w:lineRule="auto"/>
      </w:pPr>
      <w:r>
        <w:rPr>
          <w:noProof/>
        </w:rPr>
        <w:lastRenderedPageBreak/>
        <w:drawing>
          <wp:inline distT="0" distB="0" distL="0" distR="0" wp14:anchorId="769F648C" wp14:editId="5BE157E7">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FF13CF"/>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57FF5"/>
    <w:rsid w:val="00062A81"/>
    <w:rsid w:val="00063C5A"/>
    <w:rsid w:val="00073527"/>
    <w:rsid w:val="00075CE9"/>
    <w:rsid w:val="000A559E"/>
    <w:rsid w:val="000C095B"/>
    <w:rsid w:val="000E61A1"/>
    <w:rsid w:val="00130A65"/>
    <w:rsid w:val="00132C97"/>
    <w:rsid w:val="00174ADC"/>
    <w:rsid w:val="00177F17"/>
    <w:rsid w:val="001A41ED"/>
    <w:rsid w:val="001B4849"/>
    <w:rsid w:val="001B620A"/>
    <w:rsid w:val="001F57DD"/>
    <w:rsid w:val="002105E6"/>
    <w:rsid w:val="00212545"/>
    <w:rsid w:val="00216DC1"/>
    <w:rsid w:val="002279AC"/>
    <w:rsid w:val="0024789D"/>
    <w:rsid w:val="002708EF"/>
    <w:rsid w:val="00296E79"/>
    <w:rsid w:val="002C5643"/>
    <w:rsid w:val="00315B37"/>
    <w:rsid w:val="0032041A"/>
    <w:rsid w:val="00320ACD"/>
    <w:rsid w:val="0033047C"/>
    <w:rsid w:val="0038022A"/>
    <w:rsid w:val="003833FC"/>
    <w:rsid w:val="003865B9"/>
    <w:rsid w:val="003A2F69"/>
    <w:rsid w:val="003A7229"/>
    <w:rsid w:val="003C3959"/>
    <w:rsid w:val="003C48D4"/>
    <w:rsid w:val="003D37C2"/>
    <w:rsid w:val="003D63BA"/>
    <w:rsid w:val="003E48AB"/>
    <w:rsid w:val="003E61B4"/>
    <w:rsid w:val="00404777"/>
    <w:rsid w:val="00411B93"/>
    <w:rsid w:val="00415DA7"/>
    <w:rsid w:val="004272BB"/>
    <w:rsid w:val="00435EA7"/>
    <w:rsid w:val="004428CF"/>
    <w:rsid w:val="00460BBB"/>
    <w:rsid w:val="00471DA1"/>
    <w:rsid w:val="004A627C"/>
    <w:rsid w:val="004D5ADD"/>
    <w:rsid w:val="004E5201"/>
    <w:rsid w:val="004F0B5D"/>
    <w:rsid w:val="004F44D7"/>
    <w:rsid w:val="0050384A"/>
    <w:rsid w:val="005112F3"/>
    <w:rsid w:val="00514805"/>
    <w:rsid w:val="005337D1"/>
    <w:rsid w:val="00553D8A"/>
    <w:rsid w:val="00567002"/>
    <w:rsid w:val="005830F4"/>
    <w:rsid w:val="00586686"/>
    <w:rsid w:val="005927BB"/>
    <w:rsid w:val="00595960"/>
    <w:rsid w:val="005A5296"/>
    <w:rsid w:val="005B2E15"/>
    <w:rsid w:val="005C6851"/>
    <w:rsid w:val="005D0531"/>
    <w:rsid w:val="005D1662"/>
    <w:rsid w:val="005D4EB7"/>
    <w:rsid w:val="005F310B"/>
    <w:rsid w:val="00627509"/>
    <w:rsid w:val="00657BB0"/>
    <w:rsid w:val="00661646"/>
    <w:rsid w:val="006751C1"/>
    <w:rsid w:val="006C484D"/>
    <w:rsid w:val="006F20A3"/>
    <w:rsid w:val="00702374"/>
    <w:rsid w:val="00705461"/>
    <w:rsid w:val="00706E2C"/>
    <w:rsid w:val="0072381B"/>
    <w:rsid w:val="00734D63"/>
    <w:rsid w:val="00751BF0"/>
    <w:rsid w:val="00756A13"/>
    <w:rsid w:val="0076094C"/>
    <w:rsid w:val="00761DEF"/>
    <w:rsid w:val="007833F7"/>
    <w:rsid w:val="0079372B"/>
    <w:rsid w:val="0079412B"/>
    <w:rsid w:val="007C22D0"/>
    <w:rsid w:val="007C3F3C"/>
    <w:rsid w:val="007C526A"/>
    <w:rsid w:val="007C5E94"/>
    <w:rsid w:val="007D00B2"/>
    <w:rsid w:val="007E0B39"/>
    <w:rsid w:val="007E6E3D"/>
    <w:rsid w:val="007F1561"/>
    <w:rsid w:val="0080059F"/>
    <w:rsid w:val="00805453"/>
    <w:rsid w:val="00806723"/>
    <w:rsid w:val="00824783"/>
    <w:rsid w:val="00836341"/>
    <w:rsid w:val="00855170"/>
    <w:rsid w:val="00856A01"/>
    <w:rsid w:val="008757D2"/>
    <w:rsid w:val="0087702D"/>
    <w:rsid w:val="008A2BB0"/>
    <w:rsid w:val="008A4251"/>
    <w:rsid w:val="008C2EF4"/>
    <w:rsid w:val="008C7FF0"/>
    <w:rsid w:val="008E3E1C"/>
    <w:rsid w:val="00932476"/>
    <w:rsid w:val="00940F94"/>
    <w:rsid w:val="00954643"/>
    <w:rsid w:val="009563B1"/>
    <w:rsid w:val="00960337"/>
    <w:rsid w:val="00965859"/>
    <w:rsid w:val="00970D42"/>
    <w:rsid w:val="00971AC5"/>
    <w:rsid w:val="00983A48"/>
    <w:rsid w:val="009C4690"/>
    <w:rsid w:val="009D1A6C"/>
    <w:rsid w:val="009E4F75"/>
    <w:rsid w:val="009F4CBF"/>
    <w:rsid w:val="00A01EC6"/>
    <w:rsid w:val="00A44545"/>
    <w:rsid w:val="00A57604"/>
    <w:rsid w:val="00A738C5"/>
    <w:rsid w:val="00A76902"/>
    <w:rsid w:val="00A854C1"/>
    <w:rsid w:val="00A86B9F"/>
    <w:rsid w:val="00A91456"/>
    <w:rsid w:val="00AA0F90"/>
    <w:rsid w:val="00AA75C2"/>
    <w:rsid w:val="00AB0B36"/>
    <w:rsid w:val="00AC5568"/>
    <w:rsid w:val="00AC58E4"/>
    <w:rsid w:val="00AD6970"/>
    <w:rsid w:val="00AE4942"/>
    <w:rsid w:val="00AF3CAC"/>
    <w:rsid w:val="00B1436C"/>
    <w:rsid w:val="00B15CC0"/>
    <w:rsid w:val="00B66461"/>
    <w:rsid w:val="00B820C5"/>
    <w:rsid w:val="00B97E7B"/>
    <w:rsid w:val="00BB00DA"/>
    <w:rsid w:val="00BB377C"/>
    <w:rsid w:val="00BD2DC1"/>
    <w:rsid w:val="00C04DB5"/>
    <w:rsid w:val="00C1278E"/>
    <w:rsid w:val="00C1503A"/>
    <w:rsid w:val="00C232A5"/>
    <w:rsid w:val="00C2737A"/>
    <w:rsid w:val="00C36E3A"/>
    <w:rsid w:val="00C42ED8"/>
    <w:rsid w:val="00C54B0B"/>
    <w:rsid w:val="00C65F9F"/>
    <w:rsid w:val="00C71404"/>
    <w:rsid w:val="00C73818"/>
    <w:rsid w:val="00C77BF8"/>
    <w:rsid w:val="00C931E8"/>
    <w:rsid w:val="00C9364C"/>
    <w:rsid w:val="00CA69D5"/>
    <w:rsid w:val="00CD1169"/>
    <w:rsid w:val="00CD1403"/>
    <w:rsid w:val="00CF386C"/>
    <w:rsid w:val="00CF506E"/>
    <w:rsid w:val="00D06F8D"/>
    <w:rsid w:val="00D42858"/>
    <w:rsid w:val="00D4332B"/>
    <w:rsid w:val="00D45510"/>
    <w:rsid w:val="00D665B4"/>
    <w:rsid w:val="00D67432"/>
    <w:rsid w:val="00D67A67"/>
    <w:rsid w:val="00D67F80"/>
    <w:rsid w:val="00D717BD"/>
    <w:rsid w:val="00D736C0"/>
    <w:rsid w:val="00D73B64"/>
    <w:rsid w:val="00D81696"/>
    <w:rsid w:val="00D84551"/>
    <w:rsid w:val="00D90408"/>
    <w:rsid w:val="00D93D12"/>
    <w:rsid w:val="00D95B40"/>
    <w:rsid w:val="00DA037E"/>
    <w:rsid w:val="00DA2FF8"/>
    <w:rsid w:val="00DB212A"/>
    <w:rsid w:val="00DB65B0"/>
    <w:rsid w:val="00DC3DA7"/>
    <w:rsid w:val="00DD34F0"/>
    <w:rsid w:val="00DD3930"/>
    <w:rsid w:val="00E02089"/>
    <w:rsid w:val="00E06DDF"/>
    <w:rsid w:val="00E12855"/>
    <w:rsid w:val="00E341DE"/>
    <w:rsid w:val="00E53F1A"/>
    <w:rsid w:val="00E922EE"/>
    <w:rsid w:val="00E97B97"/>
    <w:rsid w:val="00EA1247"/>
    <w:rsid w:val="00EA6384"/>
    <w:rsid w:val="00EB774B"/>
    <w:rsid w:val="00EC7AB7"/>
    <w:rsid w:val="00EF092E"/>
    <w:rsid w:val="00F1477D"/>
    <w:rsid w:val="00F14D74"/>
    <w:rsid w:val="00F17FE3"/>
    <w:rsid w:val="00F24DA1"/>
    <w:rsid w:val="00F26CD6"/>
    <w:rsid w:val="00F40F07"/>
    <w:rsid w:val="00F55F41"/>
    <w:rsid w:val="00F57281"/>
    <w:rsid w:val="00F800ED"/>
    <w:rsid w:val="00FA5872"/>
    <w:rsid w:val="00FC65E9"/>
    <w:rsid w:val="00FD408B"/>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55F64"/>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9A2AA-34B1-E84E-ABD3-5CE966B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14</Pages>
  <Words>2013</Words>
  <Characters>11477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212</cp:revision>
  <dcterms:created xsi:type="dcterms:W3CDTF">2019-09-22T02:40:00Z</dcterms:created>
  <dcterms:modified xsi:type="dcterms:W3CDTF">2019-09-24T06:06:00Z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